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50AB1" w14:textId="13854920" w:rsidR="00CF4811" w:rsidRPr="00967CFB" w:rsidRDefault="00CF4811" w:rsidP="00CF48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C73848" w:rsidRPr="00C73848">
        <w:t xml:space="preserve"> </w:t>
      </w:r>
      <w:r w:rsidR="00C73848" w:rsidRPr="00C73848">
        <w:rPr>
          <w:rFonts w:ascii="Arial" w:hAnsi="Arial" w:cs="Arial"/>
          <w:b/>
          <w:bCs/>
          <w:sz w:val="28"/>
        </w:rPr>
        <w:t>2303693</w:t>
      </w:r>
    </w:p>
    <w:p w14:paraId="71FA3278" w14:textId="1C7DC704" w:rsidR="00A57144" w:rsidRPr="00CF4811" w:rsidRDefault="00CF4811" w:rsidP="00CF4811">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7210D9E" w14:textId="77777777" w:rsidR="003F1BAF" w:rsidRPr="00F74EB7" w:rsidRDefault="003F1BAF" w:rsidP="00E91FF3">
      <w:pPr>
        <w:pStyle w:val="a8"/>
        <w:rPr>
          <w:rFonts w:eastAsia="ＭＳ ゴシック"/>
          <w:noProof w:val="0"/>
          <w:sz w:val="24"/>
          <w:highlight w:val="red"/>
        </w:rPr>
      </w:pPr>
    </w:p>
    <w:p w14:paraId="16354F5F" w14:textId="5C175B93" w:rsidR="001640AD" w:rsidRPr="005B0AB6" w:rsidRDefault="001640AD" w:rsidP="001640AD">
      <w:pPr>
        <w:pStyle w:val="a8"/>
        <w:ind w:left="1800" w:hanging="1800"/>
        <w:rPr>
          <w:rFonts w:eastAsia="ＭＳ ゴシック"/>
          <w:noProof w:val="0"/>
          <w:sz w:val="24"/>
          <w:lang w:eastAsia="ja-JP"/>
        </w:rPr>
      </w:pPr>
      <w:r w:rsidRPr="005B0AB6">
        <w:rPr>
          <w:rFonts w:eastAsia="ＭＳ ゴシック"/>
          <w:noProof w:val="0"/>
          <w:sz w:val="24"/>
        </w:rPr>
        <w:t>Source:</w:t>
      </w:r>
      <w:r w:rsidRPr="005B0AB6">
        <w:rPr>
          <w:rFonts w:eastAsia="ＭＳ ゴシック"/>
          <w:noProof w:val="0"/>
          <w:sz w:val="24"/>
        </w:rPr>
        <w:tab/>
        <w:t xml:space="preserve">NTT </w:t>
      </w:r>
      <w:r w:rsidRPr="005B0AB6">
        <w:rPr>
          <w:rFonts w:eastAsia="ＭＳ ゴシック" w:hint="eastAsia"/>
          <w:noProof w:val="0"/>
          <w:sz w:val="24"/>
        </w:rPr>
        <w:t>DOCOMO</w:t>
      </w:r>
      <w:r w:rsidRPr="005B0AB6">
        <w:rPr>
          <w:rFonts w:eastAsia="ＭＳ ゴシック" w:hint="eastAsia"/>
          <w:noProof w:val="0"/>
          <w:sz w:val="24"/>
          <w:lang w:eastAsia="ja-JP"/>
        </w:rPr>
        <w:t>, INC.</w:t>
      </w:r>
    </w:p>
    <w:p w14:paraId="1632BD4A" w14:textId="7CED9223" w:rsidR="00900DAE" w:rsidRPr="005B0AB6" w:rsidRDefault="00D02352" w:rsidP="00D02352">
      <w:pPr>
        <w:pStyle w:val="a8"/>
        <w:ind w:left="1800" w:hanging="1800"/>
        <w:rPr>
          <w:sz w:val="24"/>
          <w:lang w:val="en-US" w:eastAsia="ja-JP"/>
        </w:rPr>
      </w:pPr>
      <w:r w:rsidRPr="005B0AB6">
        <w:rPr>
          <w:sz w:val="24"/>
          <w:lang w:val="en-US"/>
        </w:rPr>
        <w:t>Title:</w:t>
      </w:r>
      <w:r w:rsidR="00DB782C" w:rsidRPr="005B0AB6">
        <w:rPr>
          <w:sz w:val="24"/>
          <w:lang w:val="en-US"/>
        </w:rPr>
        <w:tab/>
      </w:r>
      <w:r w:rsidR="002E57DE">
        <w:rPr>
          <w:sz w:val="24"/>
          <w:lang w:val="en-US"/>
        </w:rPr>
        <w:t xml:space="preserve">Discussion on the remaining issues for </w:t>
      </w:r>
      <w:r w:rsidR="00F301D3" w:rsidRPr="005B0AB6">
        <w:rPr>
          <w:sz w:val="24"/>
          <w:lang w:val="en-US"/>
        </w:rPr>
        <w:t>joint channel estimation</w:t>
      </w:r>
    </w:p>
    <w:p w14:paraId="33948831" w14:textId="45AE2813" w:rsidR="00900DAE" w:rsidRPr="005B0AB6" w:rsidRDefault="00900DAE" w:rsidP="00D02352">
      <w:pPr>
        <w:pStyle w:val="a8"/>
        <w:tabs>
          <w:tab w:val="left" w:pos="1800"/>
        </w:tabs>
        <w:ind w:left="1800" w:hanging="1800"/>
        <w:rPr>
          <w:sz w:val="24"/>
          <w:lang w:val="en-US" w:eastAsia="ja-JP"/>
        </w:rPr>
      </w:pPr>
      <w:r w:rsidRPr="005B0AB6">
        <w:rPr>
          <w:sz w:val="24"/>
          <w:lang w:val="en-US"/>
        </w:rPr>
        <w:t>Agenda Item:</w:t>
      </w:r>
      <w:bookmarkStart w:id="0" w:name="Source"/>
      <w:bookmarkEnd w:id="0"/>
      <w:r w:rsidR="00D02352" w:rsidRPr="005B0AB6">
        <w:rPr>
          <w:sz w:val="24"/>
          <w:lang w:val="en-US"/>
        </w:rPr>
        <w:tab/>
      </w:r>
      <w:r w:rsidR="006108E2">
        <w:rPr>
          <w:sz w:val="24"/>
          <w:lang w:val="en-US"/>
        </w:rPr>
        <w:t>7.2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5B0AB6">
        <w:rPr>
          <w:rFonts w:ascii="Arial" w:hAnsi="Arial"/>
          <w:b/>
          <w:lang w:val="en-US"/>
        </w:rPr>
        <w:t>Document for:</w:t>
      </w:r>
      <w:bookmarkStart w:id="1" w:name="DocumentFor"/>
      <w:bookmarkEnd w:id="1"/>
      <w:r w:rsidR="00D02352" w:rsidRPr="005B0AB6">
        <w:rPr>
          <w:rFonts w:ascii="Arial" w:hAnsi="Arial"/>
          <w:b/>
          <w:lang w:val="en-US"/>
        </w:rPr>
        <w:t xml:space="preserve"> </w:t>
      </w:r>
      <w:r w:rsidR="00D02352" w:rsidRPr="005B0AB6">
        <w:rPr>
          <w:rFonts w:ascii="Arial" w:hAnsi="Arial"/>
          <w:b/>
          <w:lang w:val="en-US"/>
        </w:rPr>
        <w:tab/>
      </w:r>
      <w:r w:rsidR="00E41808" w:rsidRPr="005B0AB6">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63EDAF0" w14:textId="2CBDFD45" w:rsidR="002B07F3" w:rsidRPr="00F301D3" w:rsidRDefault="002A511E" w:rsidP="00F301D3">
      <w:pPr>
        <w:spacing w:after="240"/>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546B31">
        <w:rPr>
          <w:rFonts w:eastAsiaTheme="minorEastAsia"/>
          <w:sz w:val="22"/>
          <w:szCs w:val="22"/>
          <w:lang w:val="en-US"/>
        </w:rPr>
        <w:t>joint channel estimation</w:t>
      </w:r>
      <w:r w:rsidR="00546B31">
        <w:rPr>
          <w:sz w:val="22"/>
          <w:szCs w:val="22"/>
          <w:lang w:val="en-US"/>
        </w:rPr>
        <w:t xml:space="preserve"> in</w:t>
      </w:r>
      <w:r w:rsidR="007E607B">
        <w:rPr>
          <w:sz w:val="22"/>
          <w:szCs w:val="22"/>
          <w:lang w:val="en-US"/>
        </w:rPr>
        <w:t xml:space="preserve"> coverage enhancements</w:t>
      </w:r>
      <w:r w:rsidR="007E607B" w:rsidRPr="007E607B">
        <w:rPr>
          <w:sz w:val="22"/>
          <w:szCs w:val="22"/>
          <w:lang w:val="en-US"/>
        </w:rPr>
        <w:t>.</w:t>
      </w:r>
    </w:p>
    <w:p w14:paraId="41C0533E" w14:textId="06C04ABB" w:rsidR="00F74EB7" w:rsidRPr="005B0AB6" w:rsidRDefault="005768AF" w:rsidP="005B0AB6">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60FFF48B" w14:textId="2936C004" w:rsidR="00F301D3" w:rsidRDefault="00F74EB7" w:rsidP="00F301D3">
      <w:pPr>
        <w:spacing w:afterLines="50" w:after="120"/>
        <w:jc w:val="both"/>
        <w:rPr>
          <w:rFonts w:eastAsiaTheme="minorEastAsia"/>
          <w:sz w:val="22"/>
          <w:szCs w:val="22"/>
          <w:lang w:val="en-US"/>
        </w:rPr>
      </w:pPr>
      <w:r>
        <w:rPr>
          <w:rFonts w:eastAsiaTheme="minorEastAsia"/>
          <w:sz w:val="22"/>
          <w:szCs w:val="22"/>
          <w:lang w:val="en-US"/>
        </w:rPr>
        <w:t xml:space="preserve">According to LS from RAN4 [1], UE cannot keep phase continuity across PUCCH or PUSCH repetitions when UL beam switching occurs. Based on this observation, </w:t>
      </w:r>
      <w:r w:rsidR="00F301D3">
        <w:rPr>
          <w:rFonts w:eastAsiaTheme="minorEastAsia"/>
          <w:sz w:val="22"/>
          <w:szCs w:val="22"/>
          <w:lang w:val="en-US"/>
        </w:rPr>
        <w:t>the following agreement related to UL beam switching under DMRS bundling was made at</w:t>
      </w:r>
      <w:r w:rsidR="00F301D3">
        <w:rPr>
          <w:rFonts w:eastAsia="游明朝"/>
          <w:bCs/>
          <w:sz w:val="22"/>
          <w:szCs w:val="22"/>
          <w:lang w:val="en-US"/>
        </w:rPr>
        <w:t xml:space="preserve"> </w:t>
      </w:r>
      <w:r w:rsidR="00F301D3">
        <w:rPr>
          <w:rFonts w:eastAsiaTheme="minorEastAsia"/>
          <w:sz w:val="22"/>
          <w:szCs w:val="22"/>
          <w:lang w:val="en-US"/>
        </w:rPr>
        <w:t>RAN1#107bis-e [2],</w:t>
      </w:r>
    </w:p>
    <w:tbl>
      <w:tblPr>
        <w:tblStyle w:val="aff4"/>
        <w:tblW w:w="0" w:type="auto"/>
        <w:jc w:val="center"/>
        <w:tblLook w:val="04A0" w:firstRow="1" w:lastRow="0" w:firstColumn="1" w:lastColumn="0" w:noHBand="0" w:noVBand="1"/>
      </w:tblPr>
      <w:tblGrid>
        <w:gridCol w:w="9962"/>
      </w:tblGrid>
      <w:tr w:rsidR="00F301D3" w14:paraId="78DF56AE" w14:textId="77777777" w:rsidTr="00A87E1B">
        <w:trPr>
          <w:trHeight w:val="1266"/>
          <w:jc w:val="center"/>
        </w:trPr>
        <w:tc>
          <w:tcPr>
            <w:tcW w:w="9962" w:type="dxa"/>
            <w:tcBorders>
              <w:top w:val="single" w:sz="4" w:space="0" w:color="auto"/>
              <w:left w:val="single" w:sz="4" w:space="0" w:color="auto"/>
              <w:bottom w:val="single" w:sz="4" w:space="0" w:color="auto"/>
              <w:right w:val="single" w:sz="4" w:space="0" w:color="auto"/>
            </w:tcBorders>
            <w:hideMark/>
          </w:tcPr>
          <w:p w14:paraId="565575C6" w14:textId="77777777" w:rsidR="00F301D3" w:rsidRDefault="00F301D3" w:rsidP="00A87E1B">
            <w:pPr>
              <w:rPr>
                <w:rFonts w:eastAsia="SimSun"/>
                <w:b/>
                <w:szCs w:val="21"/>
                <w:highlight w:val="yellow"/>
              </w:rPr>
            </w:pPr>
            <w:r>
              <w:rPr>
                <w:rFonts w:eastAsia="Batang"/>
                <w:b/>
                <w:szCs w:val="21"/>
                <w:highlight w:val="green"/>
              </w:rPr>
              <w:t>Agreement</w:t>
            </w:r>
            <w:r>
              <w:rPr>
                <w:rFonts w:eastAsia="Batang"/>
                <w:b/>
                <w:bCs/>
                <w:szCs w:val="21"/>
                <w:highlight w:val="green"/>
              </w:rPr>
              <w:t>:</w:t>
            </w:r>
          </w:p>
          <w:p w14:paraId="279421BF" w14:textId="77777777" w:rsidR="00F301D3" w:rsidRPr="00F301D3" w:rsidRDefault="00F301D3" w:rsidP="00A87E1B">
            <w:pPr>
              <w:pStyle w:val="aff6"/>
              <w:numPr>
                <w:ilvl w:val="0"/>
                <w:numId w:val="25"/>
              </w:numPr>
              <w:snapToGrid w:val="0"/>
              <w:spacing w:after="120" w:line="259" w:lineRule="auto"/>
              <w:ind w:leftChars="0"/>
              <w:jc w:val="both"/>
              <w:rPr>
                <w:szCs w:val="21"/>
              </w:rPr>
            </w:pPr>
            <w:r>
              <w:rPr>
                <w:sz w:val="20"/>
              </w:rPr>
              <w:t xml:space="preserve">If DMRS bundling and UL beam switching </w:t>
            </w:r>
            <w:r>
              <w:rPr>
                <w:bCs/>
                <w:sz w:val="20"/>
              </w:rPr>
              <w:t>for multi-TRP operation</w:t>
            </w:r>
            <w:r>
              <w:rPr>
                <w:sz w:val="20"/>
              </w:rPr>
              <w:t xml:space="preserve"> are configured simultaneously, UL beam switching </w:t>
            </w:r>
            <w:r>
              <w:rPr>
                <w:bCs/>
                <w:sz w:val="20"/>
              </w:rPr>
              <w:t>for multi-TRP ope</w:t>
            </w:r>
            <w:r>
              <w:rPr>
                <w:sz w:val="20"/>
              </w:rPr>
              <w:t>ration is regarded as a semi-static event.</w:t>
            </w:r>
          </w:p>
        </w:tc>
      </w:tr>
    </w:tbl>
    <w:p w14:paraId="775750AC" w14:textId="6FBA2D9D" w:rsidR="00F301D3" w:rsidRDefault="005B0AB6" w:rsidP="00F301D3">
      <w:pPr>
        <w:spacing w:before="240"/>
        <w:rPr>
          <w:rFonts w:eastAsiaTheme="minorEastAsia"/>
          <w:sz w:val="22"/>
          <w:szCs w:val="22"/>
          <w:lang w:val="en-US"/>
        </w:rPr>
      </w:pPr>
      <w:r>
        <w:rPr>
          <w:rFonts w:eastAsiaTheme="minorEastAsia"/>
          <w:sz w:val="22"/>
          <w:szCs w:val="22"/>
          <w:lang w:val="en-US"/>
        </w:rPr>
        <w:t xml:space="preserve">Since it is difficult to maintain the power consistency and phase continuity before and after the beam switching, </w:t>
      </w:r>
      <w:r w:rsidR="00F301D3">
        <w:rPr>
          <w:rFonts w:eastAsiaTheme="minorEastAsia"/>
          <w:sz w:val="22"/>
          <w:szCs w:val="22"/>
          <w:lang w:val="en-US"/>
        </w:rPr>
        <w:t>UL beam switching during the repetition needs to be treated as an event.</w:t>
      </w:r>
    </w:p>
    <w:p w14:paraId="3AA52CE7" w14:textId="0F16115A" w:rsidR="00F301D3" w:rsidRPr="00F301D3" w:rsidRDefault="00F301D3" w:rsidP="00F301D3">
      <w:pPr>
        <w:spacing w:before="240"/>
        <w:rPr>
          <w:rFonts w:eastAsiaTheme="minorEastAsia"/>
          <w:sz w:val="22"/>
          <w:szCs w:val="22"/>
          <w:lang w:val="en-US"/>
        </w:rPr>
      </w:pPr>
      <w:r w:rsidRPr="003D12D5">
        <w:rPr>
          <w:noProof/>
        </w:rPr>
        <mc:AlternateContent>
          <mc:Choice Requires="wps">
            <w:drawing>
              <wp:anchor distT="45720" distB="45720" distL="114300" distR="114300" simplePos="0" relativeHeight="251659264" behindDoc="0" locked="0" layoutInCell="1" allowOverlap="1" wp14:anchorId="5C45B78F" wp14:editId="3C6524EB">
                <wp:simplePos x="0" y="0"/>
                <wp:positionH relativeFrom="margin">
                  <wp:align>left</wp:align>
                </wp:positionH>
                <wp:positionV relativeFrom="paragraph">
                  <wp:posOffset>907415</wp:posOffset>
                </wp:positionV>
                <wp:extent cx="6098540" cy="3314700"/>
                <wp:effectExtent l="0" t="0" r="16510" b="1905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314700"/>
                        </a:xfrm>
                        <a:prstGeom prst="rect">
                          <a:avLst/>
                        </a:prstGeom>
                        <a:solidFill>
                          <a:srgbClr val="FFFFFF"/>
                        </a:solidFill>
                        <a:ln w="9525">
                          <a:solidFill>
                            <a:srgbClr val="000000"/>
                          </a:solidFill>
                          <a:miter lim="800000"/>
                          <a:headEnd/>
                          <a:tailEnd/>
                        </a:ln>
                      </wps:spPr>
                      <wps:txbx>
                        <w:txbxContent>
                          <w:p w14:paraId="56D93B2F" w14:textId="77777777" w:rsidR="00F301D3" w:rsidRPr="00A858CF" w:rsidRDefault="00F301D3" w:rsidP="00F301D3">
                            <w:pPr>
                              <w:rPr>
                                <w:rFonts w:eastAsia="SimSun" w:cs="Arial"/>
                                <w:color w:val="000000"/>
                              </w:rPr>
                            </w:pPr>
                            <w:r w:rsidRPr="00A858CF">
                              <w:rPr>
                                <w:rFonts w:eastAsia="SimSun" w:cs="Arial"/>
                                <w:color w:val="000000"/>
                              </w:rPr>
                              <w:t>Excerpt from 38.214, Clause 5.1.5</w:t>
                            </w:r>
                          </w:p>
                          <w:p w14:paraId="5F3AB587" w14:textId="77777777" w:rsidR="00F301D3" w:rsidRPr="00E51918" w:rsidRDefault="00F301D3" w:rsidP="00F301D3">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A52D654" w14:textId="77777777" w:rsidR="00F301D3" w:rsidRPr="00E51918" w:rsidRDefault="00F301D3" w:rsidP="00F301D3">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0350E2">
                              <w:rPr>
                                <w:rStyle w:val="affff0"/>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1A62601C" w14:textId="772B9A1B" w:rsidR="00F301D3" w:rsidRPr="00F301D3" w:rsidRDefault="00F301D3" w:rsidP="00F301D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F301D3">
                              <w:rPr>
                                <w:color w:val="000000" w:themeColor="text1"/>
                                <w:highlight w:val="yellow"/>
                                <w:lang w:eastAsia="zh-CN"/>
                              </w:rPr>
                              <w:t>if</w:t>
                            </w:r>
                            <w:r w:rsidRPr="00F301D3">
                              <w:rPr>
                                <w:color w:val="000000" w:themeColor="text1"/>
                                <w:highlight w:val="yellow"/>
                                <w:lang w:val="en-US" w:eastAsia="zh-CN"/>
                              </w:rPr>
                              <w:t xml:space="preserve"> the </w:t>
                            </w:r>
                            <w:r w:rsidRPr="00F301D3">
                              <w:rPr>
                                <w:color w:val="000000" w:themeColor="text1"/>
                                <w:highlight w:val="yellow"/>
                                <w:lang w:val="en-US"/>
                              </w:rPr>
                              <w:t xml:space="preserve">indicated </w:t>
                            </w:r>
                            <w:r w:rsidRPr="00F301D3">
                              <w:rPr>
                                <w:color w:val="000000" w:themeColor="text1"/>
                                <w:highlight w:val="yellow"/>
                                <w:lang w:val="en-US" w:eastAsia="zh-CN"/>
                              </w:rPr>
                              <w:t>TCI</w:t>
                            </w:r>
                            <w:r w:rsidRPr="00F301D3">
                              <w:rPr>
                                <w:color w:val="000000" w:themeColor="text1"/>
                                <w:highlight w:val="yellow"/>
                                <w:lang w:eastAsia="zh-CN"/>
                              </w:rPr>
                              <w:t xml:space="preserve"> </w:t>
                            </w:r>
                            <w:r w:rsidRPr="00F301D3">
                              <w:rPr>
                                <w:color w:val="000000" w:themeColor="text1"/>
                                <w:highlight w:val="yellow"/>
                                <w:lang w:val="en-US" w:eastAsia="zh-CN"/>
                              </w:rPr>
                              <w:t xml:space="preserve">State is different </w:t>
                            </w:r>
                            <w:r w:rsidRPr="00F301D3">
                              <w:rPr>
                                <w:color w:val="000000" w:themeColor="text1"/>
                                <w:highlight w:val="yellow"/>
                                <w:lang w:val="en-US"/>
                              </w:rPr>
                              <w:t xml:space="preserve">from </w:t>
                            </w:r>
                            <w:r w:rsidRPr="00F301D3">
                              <w:rPr>
                                <w:color w:val="000000" w:themeColor="text1"/>
                                <w:highlight w:val="yellow"/>
                                <w:lang w:val="en-US" w:eastAsia="zh-CN"/>
                              </w:rPr>
                              <w:t>the previously indicated one, the indicated</w:t>
                            </w:r>
                            <w:r w:rsidRPr="00F301D3">
                              <w:rPr>
                                <w:i/>
                                <w:iCs/>
                                <w:color w:val="000000" w:themeColor="text1"/>
                                <w:highlight w:val="yellow"/>
                                <w:lang w:val="en-US" w:eastAsia="zh-CN"/>
                              </w:rPr>
                              <w:t xml:space="preserve"> </w:t>
                            </w:r>
                            <w:r w:rsidRPr="00F301D3">
                              <w:rPr>
                                <w:rStyle w:val="affff0"/>
                                <w:color w:val="000000" w:themeColor="text1"/>
                                <w:highlight w:val="yellow"/>
                                <w:lang w:eastAsia="zh-CN"/>
                              </w:rPr>
                              <w:t>TCI-State</w:t>
                            </w:r>
                            <w:r w:rsidRPr="00F301D3">
                              <w:rPr>
                                <w:color w:val="000000" w:themeColor="text1"/>
                                <w:highlight w:val="yellow"/>
                              </w:rPr>
                              <w:t xml:space="preserve"> and/or</w:t>
                            </w:r>
                            <w:r w:rsidRPr="00F301D3">
                              <w:rPr>
                                <w:i/>
                                <w:iCs/>
                                <w:color w:val="000000" w:themeColor="text1"/>
                                <w:highlight w:val="yellow"/>
                              </w:rPr>
                              <w:t xml:space="preserve"> TCI-UL-State</w:t>
                            </w:r>
                            <w:r w:rsidRPr="00F301D3">
                              <w:rPr>
                                <w:i/>
                                <w:iCs/>
                                <w:color w:val="000000"/>
                                <w:highlight w:val="yellow"/>
                              </w:rPr>
                              <w:t xml:space="preserve"> </w:t>
                            </w:r>
                            <w:r w:rsidRPr="00F301D3">
                              <w:rPr>
                                <w:color w:val="000000" w:themeColor="text1"/>
                                <w:highlight w:val="yellow"/>
                                <w:lang w:val="en-US" w:eastAsia="zh-CN"/>
                              </w:rPr>
                              <w:t xml:space="preserve">should be applied starting from the first slot that is </w:t>
                            </w:r>
                            <w:r w:rsidRPr="00F301D3">
                              <w:rPr>
                                <w:color w:val="000000" w:themeColor="text1"/>
                                <w:highlight w:val="yellow"/>
                                <w:lang w:eastAsia="zh-CN"/>
                              </w:rPr>
                              <w:t xml:space="preserve">at least </w:t>
                            </w:r>
                            <m:oMath>
                              <m:r>
                                <m:rPr>
                                  <m:sty m:val="p"/>
                                </m:rPr>
                                <w:rPr>
                                  <w:rFonts w:ascii="Cambria Math" w:hAnsi="Cambria Math"/>
                                  <w:color w:val="000000" w:themeColor="text1"/>
                                  <w:highlight w:val="yellow"/>
                                  <w:lang w:eastAsia="zh-CN"/>
                                </w:rPr>
                                <m:t xml:space="preserve"> </m:t>
                              </m:r>
                              <m:r>
                                <w:rPr>
                                  <w:rFonts w:ascii="Cambria Math" w:hAnsi="Cambria Math"/>
                                  <w:color w:val="000000" w:themeColor="text1"/>
                                  <w:highlight w:val="yellow"/>
                                  <w:lang w:eastAsia="zh-CN"/>
                                </w:rPr>
                                <m:t>beamAppTime</m:t>
                              </m:r>
                            </m:oMath>
                            <w:r w:rsidRPr="00F301D3">
                              <w:rPr>
                                <w:highlight w:val="yellow"/>
                                <w:lang w:val="en-US"/>
                              </w:rPr>
                              <w:t xml:space="preserve"> symbols</w:t>
                            </w:r>
                            <w:r w:rsidRPr="00F301D3">
                              <w:rPr>
                                <w:highlight w:val="yellow"/>
                              </w:rPr>
                              <w:t xml:space="preserve"> after the last symbol of the PUC</w:t>
                            </w:r>
                            <w:r w:rsidRPr="00F301D3">
                              <w:rPr>
                                <w:color w:val="000000" w:themeColor="text1"/>
                                <w:highlight w:val="yellow"/>
                              </w:rPr>
                              <w:t>CH or the PUSCH</w:t>
                            </w:r>
                            <w:r w:rsidRPr="00F301D3">
                              <w:rPr>
                                <w:color w:val="000000" w:themeColor="text1"/>
                                <w:highlight w:val="yellow"/>
                                <w:lang w:val="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r w:rsidRPr="003D12D5">
                              <w:rPr>
                                <w:rFonts w:eastAsia="SimSu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45B78F" id="_x0000_t202" coordsize="21600,21600" o:spt="202" path="m,l,21600r21600,l21600,xe">
                <v:stroke joinstyle="miter"/>
                <v:path gradientshapeok="t" o:connecttype="rect"/>
              </v:shapetype>
              <v:shape id="Text Box 2" o:spid="_x0000_s1026" type="#_x0000_t202" style="position:absolute;margin-left:0;margin-top:71.45pt;width:480.2pt;height:261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">
                <v:textbox style="mso-fit-shape-to-text:t">
                  <w:txbxContent>
                    <w:p w14:paraId="56D93B2F" w14:textId="77777777" w:rsidR="00F301D3" w:rsidRPr="00A858CF" w:rsidRDefault="00F301D3" w:rsidP="00F301D3">
                      <w:pPr>
                        <w:rPr>
                          <w:rFonts w:eastAsia="SimSun" w:cs="Arial"/>
                          <w:color w:val="000000"/>
                        </w:rPr>
                      </w:pPr>
                      <w:r w:rsidRPr="00A858CF">
                        <w:rPr>
                          <w:rFonts w:eastAsia="SimSun" w:cs="Arial"/>
                          <w:color w:val="000000"/>
                        </w:rPr>
                        <w:t>Excerpt from 38.214, Clause 5.1.5</w:t>
                      </w:r>
                    </w:p>
                    <w:p w14:paraId="5F3AB587" w14:textId="77777777" w:rsidR="00F301D3" w:rsidRPr="00E51918" w:rsidRDefault="00F301D3" w:rsidP="00F301D3">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A52D654" w14:textId="77777777" w:rsidR="00F301D3" w:rsidRPr="00E51918" w:rsidRDefault="00F301D3" w:rsidP="00F301D3">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0350E2">
                        <w:rPr>
                          <w:rStyle w:val="affff0"/>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1A62601C" w14:textId="772B9A1B" w:rsidR="00F301D3" w:rsidRPr="00F301D3" w:rsidRDefault="00F301D3" w:rsidP="00F301D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F301D3">
                        <w:rPr>
                          <w:color w:val="000000" w:themeColor="text1"/>
                          <w:highlight w:val="yellow"/>
                          <w:lang w:eastAsia="zh-CN"/>
                        </w:rPr>
                        <w:t>if</w:t>
                      </w:r>
                      <w:r w:rsidRPr="00F301D3">
                        <w:rPr>
                          <w:color w:val="000000" w:themeColor="text1"/>
                          <w:highlight w:val="yellow"/>
                          <w:lang w:val="en-US" w:eastAsia="zh-CN"/>
                        </w:rPr>
                        <w:t xml:space="preserve"> the </w:t>
                      </w:r>
                      <w:r w:rsidRPr="00F301D3">
                        <w:rPr>
                          <w:color w:val="000000" w:themeColor="text1"/>
                          <w:highlight w:val="yellow"/>
                          <w:lang w:val="en-US"/>
                        </w:rPr>
                        <w:t xml:space="preserve">indicated </w:t>
                      </w:r>
                      <w:r w:rsidRPr="00F301D3">
                        <w:rPr>
                          <w:color w:val="000000" w:themeColor="text1"/>
                          <w:highlight w:val="yellow"/>
                          <w:lang w:val="en-US" w:eastAsia="zh-CN"/>
                        </w:rPr>
                        <w:t>TCI</w:t>
                      </w:r>
                      <w:r w:rsidRPr="00F301D3">
                        <w:rPr>
                          <w:color w:val="000000" w:themeColor="text1"/>
                          <w:highlight w:val="yellow"/>
                          <w:lang w:eastAsia="zh-CN"/>
                        </w:rPr>
                        <w:t xml:space="preserve"> </w:t>
                      </w:r>
                      <w:r w:rsidRPr="00F301D3">
                        <w:rPr>
                          <w:color w:val="000000" w:themeColor="text1"/>
                          <w:highlight w:val="yellow"/>
                          <w:lang w:val="en-US" w:eastAsia="zh-CN"/>
                        </w:rPr>
                        <w:t xml:space="preserve">State is different </w:t>
                      </w:r>
                      <w:r w:rsidRPr="00F301D3">
                        <w:rPr>
                          <w:color w:val="000000" w:themeColor="text1"/>
                          <w:highlight w:val="yellow"/>
                          <w:lang w:val="en-US"/>
                        </w:rPr>
                        <w:t xml:space="preserve">from </w:t>
                      </w:r>
                      <w:r w:rsidRPr="00F301D3">
                        <w:rPr>
                          <w:color w:val="000000" w:themeColor="text1"/>
                          <w:highlight w:val="yellow"/>
                          <w:lang w:val="en-US" w:eastAsia="zh-CN"/>
                        </w:rPr>
                        <w:t>the previously indicated one, the indicated</w:t>
                      </w:r>
                      <w:r w:rsidRPr="00F301D3">
                        <w:rPr>
                          <w:i/>
                          <w:iCs/>
                          <w:color w:val="000000" w:themeColor="text1"/>
                          <w:highlight w:val="yellow"/>
                          <w:lang w:val="en-US" w:eastAsia="zh-CN"/>
                        </w:rPr>
                        <w:t xml:space="preserve"> </w:t>
                      </w:r>
                      <w:r w:rsidRPr="00F301D3">
                        <w:rPr>
                          <w:rStyle w:val="affff0"/>
                          <w:color w:val="000000" w:themeColor="text1"/>
                          <w:highlight w:val="yellow"/>
                          <w:lang w:eastAsia="zh-CN"/>
                        </w:rPr>
                        <w:t>TCI-State</w:t>
                      </w:r>
                      <w:r w:rsidRPr="00F301D3">
                        <w:rPr>
                          <w:color w:val="000000" w:themeColor="text1"/>
                          <w:highlight w:val="yellow"/>
                        </w:rPr>
                        <w:t xml:space="preserve"> and/or</w:t>
                      </w:r>
                      <w:r w:rsidRPr="00F301D3">
                        <w:rPr>
                          <w:i/>
                          <w:iCs/>
                          <w:color w:val="000000" w:themeColor="text1"/>
                          <w:highlight w:val="yellow"/>
                        </w:rPr>
                        <w:t xml:space="preserve"> TCI-UL-State</w:t>
                      </w:r>
                      <w:r w:rsidRPr="00F301D3">
                        <w:rPr>
                          <w:i/>
                          <w:iCs/>
                          <w:color w:val="000000"/>
                          <w:highlight w:val="yellow"/>
                        </w:rPr>
                        <w:t xml:space="preserve"> </w:t>
                      </w:r>
                      <w:r w:rsidRPr="00F301D3">
                        <w:rPr>
                          <w:color w:val="000000" w:themeColor="text1"/>
                          <w:highlight w:val="yellow"/>
                          <w:lang w:val="en-US" w:eastAsia="zh-CN"/>
                        </w:rPr>
                        <w:t xml:space="preserve">should be applied starting from the first slot that is </w:t>
                      </w:r>
                      <w:r w:rsidRPr="00F301D3">
                        <w:rPr>
                          <w:color w:val="000000" w:themeColor="text1"/>
                          <w:highlight w:val="yellow"/>
                          <w:lang w:eastAsia="zh-CN"/>
                        </w:rPr>
                        <w:t xml:space="preserve">at least </w:t>
                      </w:r>
                      <m:oMath>
                        <m:r>
                          <m:rPr>
                            <m:sty m:val="p"/>
                          </m:rPr>
                          <w:rPr>
                            <w:rFonts w:ascii="Cambria Math" w:hAnsi="Cambria Math"/>
                            <w:color w:val="000000" w:themeColor="text1"/>
                            <w:highlight w:val="yellow"/>
                            <w:lang w:eastAsia="zh-CN"/>
                          </w:rPr>
                          <m:t xml:space="preserve"> </m:t>
                        </m:r>
                        <m:r>
                          <w:rPr>
                            <w:rFonts w:ascii="Cambria Math" w:hAnsi="Cambria Math"/>
                            <w:color w:val="000000" w:themeColor="text1"/>
                            <w:highlight w:val="yellow"/>
                            <w:lang w:eastAsia="zh-CN"/>
                          </w:rPr>
                          <m:t>beamAppTime</m:t>
                        </m:r>
                      </m:oMath>
                      <w:r w:rsidRPr="00F301D3">
                        <w:rPr>
                          <w:highlight w:val="yellow"/>
                          <w:lang w:val="en-US"/>
                        </w:rPr>
                        <w:t xml:space="preserve"> symbols</w:t>
                      </w:r>
                      <w:r w:rsidRPr="00F301D3">
                        <w:rPr>
                          <w:highlight w:val="yellow"/>
                        </w:rPr>
                        <w:t xml:space="preserve"> after the last symbol of the PUC</w:t>
                      </w:r>
                      <w:r w:rsidRPr="00F301D3">
                        <w:rPr>
                          <w:color w:val="000000" w:themeColor="text1"/>
                          <w:highlight w:val="yellow"/>
                        </w:rPr>
                        <w:t>CH or the PUSCH</w:t>
                      </w:r>
                      <w:r w:rsidRPr="00F301D3">
                        <w:rPr>
                          <w:color w:val="000000" w:themeColor="text1"/>
                          <w:highlight w:val="yellow"/>
                          <w:lang w:val="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r w:rsidRPr="003D12D5">
                        <w:rPr>
                          <w:rFonts w:eastAsia="SimSun"/>
                        </w:rPr>
                        <w:t xml:space="preserve"> </w:t>
                      </w:r>
                    </w:p>
                  </w:txbxContent>
                </v:textbox>
                <w10:wrap type="topAndBottom" anchorx="margin"/>
              </v:shape>
            </w:pict>
          </mc:Fallback>
        </mc:AlternateContent>
      </w:r>
      <w:r>
        <w:rPr>
          <w:rFonts w:eastAsiaTheme="minorEastAsia" w:hint="eastAsia"/>
          <w:sz w:val="22"/>
          <w:szCs w:val="22"/>
          <w:lang w:val="en-US"/>
        </w:rPr>
        <w:t>I</w:t>
      </w:r>
      <w:r>
        <w:rPr>
          <w:rFonts w:eastAsiaTheme="minorEastAsia"/>
          <w:sz w:val="22"/>
          <w:szCs w:val="22"/>
          <w:lang w:val="en-US"/>
        </w:rPr>
        <w:t xml:space="preserve">n Rel-17, unified TCI framework was introduced for the beam </w:t>
      </w:r>
      <w:r w:rsidRPr="00F301D3">
        <w:rPr>
          <w:rFonts w:eastAsiaTheme="minorEastAsia"/>
          <w:sz w:val="22"/>
          <w:szCs w:val="22"/>
          <w:lang w:val="en-US"/>
        </w:rPr>
        <w:t>manageability</w:t>
      </w:r>
      <w:r>
        <w:rPr>
          <w:rFonts w:eastAsiaTheme="minorEastAsia"/>
          <w:sz w:val="22"/>
          <w:szCs w:val="22"/>
          <w:lang w:val="en-US"/>
        </w:rPr>
        <w:t xml:space="preserve">. In the unified TCI framework, the indicated TCI State is applied from the first slot that is at least </w:t>
      </w:r>
      <w:proofErr w:type="spellStart"/>
      <w:r w:rsidRPr="00F301D3">
        <w:rPr>
          <w:rFonts w:eastAsiaTheme="minorEastAsia"/>
          <w:i/>
          <w:iCs/>
          <w:sz w:val="22"/>
          <w:szCs w:val="22"/>
          <w:lang w:val="en-US"/>
        </w:rPr>
        <w:t>beamAppTime</w:t>
      </w:r>
      <w:proofErr w:type="spellEnd"/>
      <w:r>
        <w:rPr>
          <w:rFonts w:eastAsiaTheme="minorEastAsia"/>
          <w:sz w:val="22"/>
          <w:szCs w:val="22"/>
          <w:lang w:val="en-US"/>
        </w:rPr>
        <w:t xml:space="preserve"> symbols after the last symbol of the PUCCH with HARQ-ACK information corresponding to the DCI carrying the indicated TCI State, as shown in the below highlighted yellow text.</w:t>
      </w:r>
    </w:p>
    <w:p w14:paraId="4EC50294" w14:textId="654A69CD" w:rsidR="00F301D3" w:rsidRDefault="00F301D3" w:rsidP="00F301D3">
      <w:pPr>
        <w:spacing w:before="24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3F6583B4" wp14:editId="051FBC6D">
            <wp:extent cx="6251575" cy="1054727"/>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220" cy="1066983"/>
                    </a:xfrm>
                    <a:prstGeom prst="rect">
                      <a:avLst/>
                    </a:prstGeom>
                    <a:noFill/>
                    <a:ln>
                      <a:noFill/>
                    </a:ln>
                  </pic:spPr>
                </pic:pic>
              </a:graphicData>
            </a:graphic>
          </wp:inline>
        </w:drawing>
      </w:r>
    </w:p>
    <w:p w14:paraId="2E5A06D6" w14:textId="7E7E5043" w:rsidR="00F301D3" w:rsidRPr="00F301D3" w:rsidRDefault="00F301D3" w:rsidP="00F301D3">
      <w:pPr>
        <w:pStyle w:val="af3"/>
        <w:jc w:val="center"/>
        <w:rPr>
          <w:b w:val="0"/>
          <w:sz w:val="22"/>
          <w:szCs w:val="22"/>
        </w:rPr>
      </w:pPr>
      <w:r>
        <w:rPr>
          <w:rFonts w:eastAsiaTheme="minorEastAsia"/>
          <w:sz w:val="22"/>
          <w:szCs w:val="22"/>
          <w:lang w:val="en-US"/>
        </w:rPr>
        <w:t xml:space="preserve"> </w:t>
      </w:r>
      <w:r>
        <w:rPr>
          <w:sz w:val="22"/>
          <w:szCs w:val="22"/>
          <w:lang w:val="en-US"/>
        </w:rPr>
        <w:t xml:space="preserve">Figure 1. </w:t>
      </w:r>
      <w:r>
        <w:rPr>
          <w:b w:val="0"/>
          <w:sz w:val="22"/>
          <w:szCs w:val="22"/>
          <w:lang w:val="en-US"/>
        </w:rPr>
        <w:t xml:space="preserve">Common beam update from TCI State#1 to TCI State#2 during PUSCH repetition by the DCI indicating the TCI State#2 without downlink assignment. </w:t>
      </w:r>
      <w:r>
        <w:rPr>
          <w:b w:val="0"/>
          <w:sz w:val="22"/>
          <w:szCs w:val="22"/>
        </w:rPr>
        <w:t xml:space="preserve"> </w:t>
      </w:r>
    </w:p>
    <w:p w14:paraId="6B62A572" w14:textId="2B9D7A1B" w:rsidR="005B0AB6" w:rsidRDefault="00F301D3" w:rsidP="005B0AB6">
      <w:pPr>
        <w:spacing w:before="240" w:after="240"/>
        <w:rPr>
          <w:rFonts w:eastAsiaTheme="minorEastAsia"/>
          <w:sz w:val="22"/>
          <w:szCs w:val="22"/>
          <w:lang w:val="en-US"/>
        </w:rPr>
      </w:pPr>
      <w:r>
        <w:rPr>
          <w:rFonts w:eastAsiaTheme="minorEastAsia"/>
          <w:sz w:val="22"/>
          <w:szCs w:val="22"/>
          <w:lang w:val="en-US"/>
        </w:rPr>
        <w:t xml:space="preserve">This mechanism could cause the TCI State update during the repetitions in some scenarios as Fig.1. In this example, the indicated TCI State different from the previous indicated one is applied after the first PUSCH transmission. If DMRS bundling is applied over PUSCH repetitions, the phase continuity needs to be maintained even with the beam switching, which is against the requirement RAN4 raised in LS [1]. </w:t>
      </w:r>
      <w:proofErr w:type="gramStart"/>
      <w:r>
        <w:rPr>
          <w:rFonts w:eastAsiaTheme="minorEastAsia"/>
          <w:sz w:val="22"/>
          <w:szCs w:val="22"/>
          <w:lang w:val="en-US"/>
        </w:rPr>
        <w:t>In order to</w:t>
      </w:r>
      <w:proofErr w:type="gramEnd"/>
      <w:r>
        <w:rPr>
          <w:rFonts w:eastAsiaTheme="minorEastAsia"/>
          <w:sz w:val="22"/>
          <w:szCs w:val="22"/>
          <w:lang w:val="en-US"/>
        </w:rPr>
        <w:t xml:space="preserve"> avoid forcing UE to do so, the beam switching via the indicated TCI State during repetitions should be treated as an event in the same manner as UL beam switching in multi-TRP operations. </w:t>
      </w:r>
    </w:p>
    <w:p w14:paraId="42CD3ABD" w14:textId="771EABAB" w:rsidR="005B0AB6" w:rsidRPr="005B0AB6" w:rsidRDefault="005B0AB6" w:rsidP="005B0AB6">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w:t>
      </w:r>
      <w:r>
        <w:rPr>
          <w:rFonts w:eastAsia="游明朝"/>
          <w:b/>
          <w:szCs w:val="24"/>
        </w:rPr>
        <w:t xml:space="preserve">Treat the beam switching via the indicated TCI state during repetition as an event breaking the power consistency and phase continuity. </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72463B24"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F301D3">
        <w:rPr>
          <w:rFonts w:eastAsiaTheme="minorEastAsia"/>
          <w:sz w:val="22"/>
          <w:szCs w:val="22"/>
          <w:lang w:val="en-US"/>
        </w:rPr>
        <w:t>DMRS bundling with unified TCI State. Ba</w:t>
      </w:r>
      <w:r w:rsidRPr="00BA56A1">
        <w:rPr>
          <w:rFonts w:eastAsiaTheme="minorEastAsia" w:hint="eastAsia"/>
          <w:sz w:val="22"/>
          <w:szCs w:val="22"/>
          <w:lang w:val="en-US"/>
        </w:rPr>
        <w:t xml:space="preserve">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p>
    <w:p w14:paraId="4172372F" w14:textId="77777777" w:rsidR="005B0AB6" w:rsidRPr="005B0AB6" w:rsidRDefault="005B0AB6" w:rsidP="005B0AB6">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w:t>
      </w:r>
      <w:r>
        <w:rPr>
          <w:rFonts w:eastAsia="游明朝"/>
          <w:b/>
          <w:szCs w:val="24"/>
        </w:rPr>
        <w:t xml:space="preserve">Treat the beam switching via the indicated TCI state during repetition as an event breaking the power consistency and phase continuity. </w:t>
      </w:r>
    </w:p>
    <w:p w14:paraId="1A7CEF1A" w14:textId="7623EC24" w:rsidR="007E607B" w:rsidRPr="00F301D3" w:rsidRDefault="009E3AC0" w:rsidP="00F301D3">
      <w:pPr>
        <w:pStyle w:val="1"/>
        <w:spacing w:before="180" w:after="120"/>
        <w:rPr>
          <w:rFonts w:eastAsia="ＭＳ 明朝"/>
          <w:b/>
          <w:bCs/>
          <w:szCs w:val="24"/>
          <w:lang w:val="en-US"/>
        </w:rPr>
      </w:pPr>
      <w:r w:rsidRPr="00EE092A">
        <w:rPr>
          <w:rFonts w:eastAsia="ＭＳ 明朝"/>
          <w:b/>
          <w:bCs/>
          <w:szCs w:val="24"/>
          <w:lang w:val="en-US"/>
        </w:rPr>
        <w:t>References</w:t>
      </w:r>
    </w:p>
    <w:p w14:paraId="4ECD6EED" w14:textId="3D2AC1B9" w:rsidR="00696B59" w:rsidRPr="00F301D3" w:rsidRDefault="00F301D3" w:rsidP="00696B59">
      <w:pPr>
        <w:pStyle w:val="aff6"/>
        <w:numPr>
          <w:ilvl w:val="0"/>
          <w:numId w:val="4"/>
        </w:numPr>
        <w:spacing w:afterLines="50" w:after="120"/>
        <w:ind w:leftChars="0"/>
        <w:jc w:val="both"/>
        <w:rPr>
          <w:sz w:val="22"/>
          <w:szCs w:val="22"/>
        </w:rPr>
      </w:pPr>
      <w:r w:rsidRPr="00F301D3">
        <w:rPr>
          <w:sz w:val="22"/>
          <w:szCs w:val="22"/>
        </w:rPr>
        <w:t>Qualcomm</w:t>
      </w:r>
      <w:r w:rsidR="00696B59" w:rsidRPr="00F301D3">
        <w:rPr>
          <w:sz w:val="22"/>
          <w:szCs w:val="22"/>
        </w:rPr>
        <w:t xml:space="preserve">, </w:t>
      </w:r>
      <w:r w:rsidRPr="00F301D3">
        <w:rPr>
          <w:sz w:val="22"/>
          <w:szCs w:val="22"/>
        </w:rPr>
        <w:t>R1-2106212, “Reply LS on PUCCH and PUSCH transmissions”, Aug</w:t>
      </w:r>
      <w:r w:rsidR="00696B59" w:rsidRPr="00F301D3">
        <w:rPr>
          <w:sz w:val="22"/>
          <w:szCs w:val="22"/>
        </w:rPr>
        <w:t>. 2021.</w:t>
      </w:r>
    </w:p>
    <w:p w14:paraId="0A78DEFD" w14:textId="116A070F" w:rsidR="00E741EA" w:rsidRPr="002E57DE" w:rsidRDefault="003714D0" w:rsidP="0016439E">
      <w:pPr>
        <w:spacing w:afterLines="50" w:after="120"/>
        <w:jc w:val="both"/>
        <w:rPr>
          <w:sz w:val="22"/>
          <w:szCs w:val="22"/>
        </w:rPr>
      </w:pPr>
      <w:r w:rsidRPr="00F301D3">
        <w:rPr>
          <w:rFonts w:hint="eastAsia"/>
          <w:sz w:val="22"/>
          <w:szCs w:val="22"/>
        </w:rPr>
        <w:t>[</w:t>
      </w:r>
      <w:r w:rsidR="005B0AB6">
        <w:rPr>
          <w:sz w:val="22"/>
          <w:szCs w:val="22"/>
        </w:rPr>
        <w:t>2</w:t>
      </w:r>
      <w:proofErr w:type="gramStart"/>
      <w:r w:rsidRPr="00F301D3">
        <w:rPr>
          <w:sz w:val="22"/>
          <w:szCs w:val="22"/>
        </w:rPr>
        <w:t xml:space="preserve">] </w:t>
      </w:r>
      <w:r w:rsidR="005B0AB6">
        <w:rPr>
          <w:sz w:val="22"/>
          <w:szCs w:val="22"/>
        </w:rPr>
        <w:t xml:space="preserve"> </w:t>
      </w:r>
      <w:r w:rsidR="00F301D3" w:rsidRPr="00F301D3">
        <w:rPr>
          <w:sz w:val="22"/>
          <w:szCs w:val="22"/>
        </w:rPr>
        <w:t>Moderator</w:t>
      </w:r>
      <w:proofErr w:type="gramEnd"/>
      <w:r w:rsidR="00F301D3" w:rsidRPr="00F301D3">
        <w:rPr>
          <w:sz w:val="22"/>
          <w:szCs w:val="22"/>
        </w:rPr>
        <w:t xml:space="preserve"> (China Telecom), </w:t>
      </w:r>
      <w:r w:rsidRPr="00F301D3">
        <w:rPr>
          <w:sz w:val="22"/>
          <w:szCs w:val="22"/>
        </w:rPr>
        <w:t>R1-220</w:t>
      </w:r>
      <w:r w:rsidR="00D83727" w:rsidRPr="00F301D3">
        <w:rPr>
          <w:sz w:val="22"/>
          <w:szCs w:val="22"/>
        </w:rPr>
        <w:t xml:space="preserve">0790, </w:t>
      </w:r>
      <w:r w:rsidR="00F301D3" w:rsidRPr="00F301D3">
        <w:rPr>
          <w:sz w:val="22"/>
          <w:szCs w:val="22"/>
        </w:rPr>
        <w:t>“</w:t>
      </w:r>
      <w:r w:rsidRPr="00F301D3">
        <w:rPr>
          <w:sz w:val="22"/>
          <w:szCs w:val="22"/>
        </w:rPr>
        <w:t>Summary of email discussion on joint channel estimation for PUSCH</w:t>
      </w:r>
      <w:r w:rsidR="00F301D3" w:rsidRPr="00F301D3">
        <w:rPr>
          <w:sz w:val="22"/>
          <w:szCs w:val="22"/>
        </w:rPr>
        <w:t>”</w:t>
      </w:r>
      <w:r w:rsidRPr="00F301D3">
        <w:rPr>
          <w:sz w:val="22"/>
          <w:szCs w:val="22"/>
        </w:rPr>
        <w:t xml:space="preserve">, </w:t>
      </w:r>
      <w:r w:rsidR="00F301D3" w:rsidRPr="00F301D3">
        <w:rPr>
          <w:sz w:val="22"/>
          <w:szCs w:val="22"/>
        </w:rPr>
        <w:t>Jan 2022</w:t>
      </w:r>
      <w:r w:rsidRPr="00F301D3">
        <w:rPr>
          <w:sz w:val="22"/>
          <w:szCs w:val="22"/>
        </w:rPr>
        <w:t>.</w:t>
      </w:r>
    </w:p>
    <w:sectPr w:rsidR="00E741EA" w:rsidRPr="002E57D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EF10" w14:textId="77777777" w:rsidR="00862345" w:rsidRDefault="00862345">
      <w:r>
        <w:separator/>
      </w:r>
    </w:p>
  </w:endnote>
  <w:endnote w:type="continuationSeparator" w:id="0">
    <w:p w14:paraId="4EF6DFCF" w14:textId="77777777" w:rsidR="00862345" w:rsidRDefault="00862345">
      <w:r>
        <w:continuationSeparator/>
      </w:r>
    </w:p>
  </w:endnote>
  <w:endnote w:type="continuationNotice" w:id="1">
    <w:p w14:paraId="2253B701" w14:textId="77777777" w:rsidR="00862345" w:rsidRDefault="00862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B612" w14:textId="77777777" w:rsidR="00862345" w:rsidRDefault="00862345">
      <w:r>
        <w:separator/>
      </w:r>
    </w:p>
  </w:footnote>
  <w:footnote w:type="continuationSeparator" w:id="0">
    <w:p w14:paraId="7BB57C43" w14:textId="77777777" w:rsidR="00862345" w:rsidRDefault="00862345">
      <w:r>
        <w:continuationSeparator/>
      </w:r>
    </w:p>
  </w:footnote>
  <w:footnote w:type="continuationNotice" w:id="1">
    <w:p w14:paraId="7CDEE8A8" w14:textId="77777777" w:rsidR="00862345" w:rsidRDefault="008623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C62E52"/>
    <w:multiLevelType w:val="hybridMultilevel"/>
    <w:tmpl w:val="4E6E360E"/>
    <w:lvl w:ilvl="0" w:tplc="2556AA42">
      <w:start w:val="1"/>
      <w:numFmt w:val="bullet"/>
      <w:lvlText w:val="-"/>
      <w:lvlJc w:val="left"/>
      <w:pPr>
        <w:ind w:left="360" w:hanging="360"/>
      </w:pPr>
      <w:rPr>
        <w:rFonts w:ascii="Times New Roman" w:eastAsiaTheme="minorEastAsia" w:hAnsi="Times New Roman" w:cs="Times New Roman" w:hint="default"/>
        <w:strike w:val="0"/>
        <w:dstrike w:val="0"/>
        <w:u w:val="none"/>
        <w:effect w:val="none"/>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8237E"/>
    <w:multiLevelType w:val="hybridMultilevel"/>
    <w:tmpl w:val="A9F6E6E6"/>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A54E74"/>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4222401">
    <w:abstractNumId w:val="1"/>
  </w:num>
  <w:num w:numId="2" w16cid:durableId="166987097">
    <w:abstractNumId w:val="27"/>
  </w:num>
  <w:num w:numId="3" w16cid:durableId="2006394130">
    <w:abstractNumId w:val="10"/>
  </w:num>
  <w:num w:numId="4" w16cid:durableId="1007362948">
    <w:abstractNumId w:val="5"/>
  </w:num>
  <w:num w:numId="5" w16cid:durableId="1412047489">
    <w:abstractNumId w:val="32"/>
  </w:num>
  <w:num w:numId="6" w16cid:durableId="529342033">
    <w:abstractNumId w:val="24"/>
  </w:num>
  <w:num w:numId="7" w16cid:durableId="951982755">
    <w:abstractNumId w:val="0"/>
    <w:lvlOverride w:ilvl="0">
      <w:startOverride w:val="1"/>
    </w:lvlOverride>
  </w:num>
  <w:num w:numId="8" w16cid:durableId="967275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2415314">
    <w:abstractNumId w:val="33"/>
  </w:num>
  <w:num w:numId="10" w16cid:durableId="1665740991">
    <w:abstractNumId w:val="18"/>
  </w:num>
  <w:num w:numId="11" w16cid:durableId="923416825">
    <w:abstractNumId w:val="30"/>
  </w:num>
  <w:num w:numId="12" w16cid:durableId="1165442139">
    <w:abstractNumId w:val="13"/>
    <w:lvlOverride w:ilvl="0">
      <w:startOverride w:val="1"/>
    </w:lvlOverride>
  </w:num>
  <w:num w:numId="13" w16cid:durableId="912007066">
    <w:abstractNumId w:val="26"/>
  </w:num>
  <w:num w:numId="14" w16cid:durableId="16485836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099772">
    <w:abstractNumId w:val="7"/>
  </w:num>
  <w:num w:numId="16" w16cid:durableId="1255284432">
    <w:abstractNumId w:val="3"/>
  </w:num>
  <w:num w:numId="17" w16cid:durableId="1497647001">
    <w:abstractNumId w:val="4"/>
  </w:num>
  <w:num w:numId="18" w16cid:durableId="623268246">
    <w:abstractNumId w:val="29"/>
  </w:num>
  <w:num w:numId="19" w16cid:durableId="12569809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049422">
    <w:abstractNumId w:val="22"/>
    <w:lvlOverride w:ilvl="0">
      <w:startOverride w:val="1"/>
    </w:lvlOverride>
  </w:num>
  <w:num w:numId="21" w16cid:durableId="658309930">
    <w:abstractNumId w:val="15"/>
    <w:lvlOverride w:ilvl="0">
      <w:startOverride w:val="1"/>
    </w:lvlOverride>
    <w:lvlOverride w:ilvl="1"/>
    <w:lvlOverride w:ilvl="2"/>
    <w:lvlOverride w:ilvl="3"/>
    <w:lvlOverride w:ilvl="4"/>
    <w:lvlOverride w:ilvl="5"/>
    <w:lvlOverride w:ilvl="6"/>
    <w:lvlOverride w:ilvl="7"/>
    <w:lvlOverride w:ilvl="8"/>
  </w:num>
  <w:num w:numId="22" w16cid:durableId="1975136381">
    <w:abstractNumId w:val="8"/>
  </w:num>
  <w:num w:numId="23" w16cid:durableId="1817338170">
    <w:abstractNumId w:val="11"/>
  </w:num>
  <w:num w:numId="24" w16cid:durableId="727918924">
    <w:abstractNumId w:val="6"/>
  </w:num>
  <w:num w:numId="25" w16cid:durableId="1693144462">
    <w:abstractNumId w:val="21"/>
  </w:num>
  <w:num w:numId="26" w16cid:durableId="1626279451">
    <w:abstractNumId w:val="23"/>
  </w:num>
  <w:num w:numId="27" w16cid:durableId="838153250">
    <w:abstractNumId w:val="31"/>
  </w:num>
  <w:num w:numId="28" w16cid:durableId="1609699001">
    <w:abstractNumId w:val="14"/>
  </w:num>
  <w:num w:numId="29" w16cid:durableId="1531844569">
    <w:abstractNumId w:val="28"/>
  </w:num>
  <w:num w:numId="30" w16cid:durableId="639966630">
    <w:abstractNumId w:val="12"/>
  </w:num>
  <w:num w:numId="31" w16cid:durableId="395593074">
    <w:abstractNumId w:val="25"/>
  </w:num>
  <w:num w:numId="32" w16cid:durableId="1406799217">
    <w:abstractNumId w:val="2"/>
  </w:num>
  <w:num w:numId="33" w16cid:durableId="472479083">
    <w:abstractNumId w:val="19"/>
  </w:num>
  <w:num w:numId="34" w16cid:durableId="1947349601">
    <w:abstractNumId w:val="2"/>
  </w:num>
  <w:num w:numId="35" w16cid:durableId="752551872">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60D"/>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542"/>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179"/>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5F9"/>
    <w:rsid w:val="00265741"/>
    <w:rsid w:val="00265A49"/>
    <w:rsid w:val="00265E1B"/>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7DE"/>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AB6"/>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8E2"/>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72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45"/>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B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384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811"/>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1EA"/>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97F27"/>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1D3"/>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4EB7"/>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1D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styleId="affff0">
    <w:name w:val="Emphasis"/>
    <w:uiPriority w:val="20"/>
    <w:qFormat/>
    <w:rsid w:val="00F301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770033">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751724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19</Lines>
  <LinksUpToDate>false</LinksUpToDate>
  <Paragraphs>5</Paragraphs>
  <ScaleCrop>false</ScaleCrop>
  <CharactersWithSpaces>2798</CharactersWithSpaces>
  <SharedDoc>false</SharedDoc>
  <HyperlinksChanged>false</HyperlinksChanged>
  <AppVersion>16.0000</AppVersion>
  <Characters>2364</Characters>
  <Pages>2</Pages>
  <DocSecurity>0</DocSecurity>
  <Words>439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2023-04-07T06:48:00Z</dcterms:modified>
  <dc:description/>
  <cp:keywords/>
  <dc:subject/>
  <dc:title>TSG-RAN Working Group 1 Meeting #26</dc:title>
  <cp:lastPrinted>2017-08-09T04:40:00Z</cp:lastPrinted>
  <cp:lastModifiedBy/>
  <dcterms:created xsi:type="dcterms:W3CDTF">2023-04-07T06:48:00Z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